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Федеральное государственное бюджетное образовательное учреждение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 xml:space="preserve"> высшего образования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Московский государственный институт культуры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FE2CBD" w:rsidRPr="007026DC" w:rsidRDefault="00FE2CBD" w:rsidP="00FE2CBD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УТВЕРЖДЕНО: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Председатель УМС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Театрально-режиссерского</w:t>
      </w:r>
    </w:p>
    <w:p w:rsidR="00FE2CBD" w:rsidRPr="007026DC" w:rsidRDefault="00FE2CBD" w:rsidP="00FE2CBD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 xml:space="preserve"> факультета</w:t>
      </w:r>
    </w:p>
    <w:p w:rsidR="00FE2CBD" w:rsidRPr="001C70D0" w:rsidRDefault="00FE2CBD" w:rsidP="00FE2CBD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Королев В.В.</w:t>
      </w:r>
      <w:r>
        <w:rPr>
          <w:b/>
          <w:color w:val="948A54"/>
          <w:lang w:eastAsia="zh-CN"/>
        </w:rPr>
        <w:t xml:space="preserve">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  <w:r w:rsidR="007A717B">
        <w:rPr>
          <w:b/>
          <w:bCs/>
          <w:smallCaps/>
          <w:sz w:val="24"/>
          <w:szCs w:val="24"/>
          <w:lang w:eastAsia="ru-RU"/>
        </w:rPr>
        <w:t xml:space="preserve"> (элективные курсы</w:t>
      </w:r>
      <w:r w:rsidR="00666AC4">
        <w:rPr>
          <w:b/>
          <w:bCs/>
          <w:smallCaps/>
          <w:sz w:val="24"/>
          <w:szCs w:val="24"/>
          <w:lang w:eastAsia="ru-RU"/>
        </w:rPr>
        <w:t>. Спортивные игры</w:t>
      </w:r>
      <w:r w:rsidR="007A717B">
        <w:rPr>
          <w:b/>
          <w:bCs/>
          <w:smallCaps/>
          <w:sz w:val="24"/>
          <w:szCs w:val="24"/>
          <w:lang w:eastAsia="ru-RU"/>
        </w:rPr>
        <w:t>)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E2CBD" w:rsidRDefault="00FE2CBD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bCs/>
          <w:color w:val="000000"/>
          <w:lang w:eastAsia="zh-CN"/>
        </w:rPr>
        <w:t>Направление подготовки/специальности (код, наименование)</w:t>
      </w: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color w:val="000000"/>
          <w:lang w:eastAsia="zh-CN"/>
        </w:rPr>
        <w:t>51.05.01 Звукорежиссура культурно-массовых представлений и концертных программ</w:t>
      </w:r>
    </w:p>
    <w:p w:rsidR="00FE2CBD" w:rsidRPr="00257A5E" w:rsidRDefault="00FE2CBD" w:rsidP="00FE2CBD">
      <w:pPr>
        <w:tabs>
          <w:tab w:val="right" w:leader="underscore" w:pos="8505"/>
        </w:tabs>
        <w:ind w:firstLine="567"/>
        <w:rPr>
          <w:b/>
          <w:bCs/>
          <w:color w:val="000000"/>
          <w:lang w:eastAsia="zh-CN"/>
        </w:rPr>
      </w:pP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bCs/>
          <w:color w:val="000000"/>
          <w:lang w:eastAsia="zh-CN"/>
        </w:rPr>
        <w:t>Профиль подготовки/специализация</w:t>
      </w: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color w:val="000000"/>
          <w:lang w:eastAsia="zh-CN"/>
        </w:rPr>
        <w:t>Звукорежиссура зрелищных программ</w:t>
      </w:r>
    </w:p>
    <w:p w:rsidR="00FE2CBD" w:rsidRPr="00257A5E" w:rsidRDefault="00FE2CBD" w:rsidP="00FE2CBD">
      <w:pPr>
        <w:tabs>
          <w:tab w:val="right" w:leader="underscore" w:pos="8505"/>
        </w:tabs>
        <w:ind w:firstLine="567"/>
        <w:rPr>
          <w:b/>
          <w:bCs/>
          <w:color w:val="000000"/>
          <w:lang w:eastAsia="zh-CN"/>
        </w:rPr>
      </w:pPr>
    </w:p>
    <w:p w:rsidR="00FE2CBD" w:rsidRPr="00257A5E" w:rsidRDefault="00FE2CBD" w:rsidP="00FE2CBD">
      <w:pPr>
        <w:tabs>
          <w:tab w:val="right" w:leader="underscore" w:pos="8505"/>
        </w:tabs>
        <w:ind w:firstLine="567"/>
        <w:rPr>
          <w:b/>
          <w:bCs/>
          <w:color w:val="000000"/>
          <w:lang w:eastAsia="zh-CN"/>
        </w:rPr>
      </w:pP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bCs/>
          <w:color w:val="000000"/>
          <w:lang w:eastAsia="zh-CN"/>
        </w:rPr>
        <w:t>Квалификация (степень) выпускника</w:t>
      </w: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bCs/>
          <w:color w:val="000000"/>
          <w:lang w:eastAsia="zh-CN"/>
        </w:rPr>
        <w:t xml:space="preserve">Специалист </w:t>
      </w:r>
    </w:p>
    <w:p w:rsidR="00FE2CBD" w:rsidRPr="00257A5E" w:rsidRDefault="00FE2CBD" w:rsidP="00FE2CBD">
      <w:pPr>
        <w:tabs>
          <w:tab w:val="right" w:leader="underscore" w:pos="8505"/>
        </w:tabs>
        <w:jc w:val="center"/>
        <w:rPr>
          <w:b/>
          <w:bCs/>
          <w:color w:val="000000"/>
          <w:vertAlign w:val="superscript"/>
          <w:lang w:eastAsia="zh-CN"/>
        </w:rPr>
      </w:pPr>
      <w:r w:rsidRPr="00257A5E">
        <w:rPr>
          <w:b/>
          <w:bCs/>
          <w:color w:val="000000"/>
          <w:vertAlign w:val="superscript"/>
          <w:lang w:eastAsia="zh-CN"/>
        </w:rPr>
        <w:t>(бакалавр, магистр, специалист)</w:t>
      </w:r>
    </w:p>
    <w:p w:rsidR="00FE2CBD" w:rsidRPr="00257A5E" w:rsidRDefault="00FE2CBD" w:rsidP="00FE2CBD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257A5E">
        <w:rPr>
          <w:b/>
          <w:bCs/>
          <w:color w:val="000000"/>
          <w:lang w:eastAsia="zh-CN"/>
        </w:rPr>
        <w:t xml:space="preserve">Форма обучения </w:t>
      </w:r>
      <w:r w:rsidRPr="00257A5E">
        <w:rPr>
          <w:b/>
          <w:bCs/>
          <w:i/>
          <w:color w:val="000000"/>
          <w:lang w:eastAsia="zh-CN"/>
        </w:rPr>
        <w:t>очная</w:t>
      </w:r>
      <w:r w:rsidRPr="00257A5E">
        <w:rPr>
          <w:b/>
          <w:bCs/>
          <w:color w:val="000000"/>
          <w:lang w:eastAsia="zh-CN"/>
        </w:rPr>
        <w:t>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9"/>
        <w:gridCol w:w="2016"/>
        <w:gridCol w:w="2673"/>
        <w:gridCol w:w="2629"/>
      </w:tblGrid>
      <w:tr w:rsidR="00497143" w:rsidRPr="00AA38F5" w:rsidTr="00E942C6">
        <w:trPr>
          <w:tblHeader/>
        </w:trPr>
        <w:tc>
          <w:tcPr>
            <w:tcW w:w="1131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E942C6">
        <w:trPr>
          <w:trHeight w:val="1005"/>
        </w:trPr>
        <w:tc>
          <w:tcPr>
            <w:tcW w:w="1131" w:type="pct"/>
            <w:vMerge w:val="restart"/>
          </w:tcPr>
          <w:p w:rsidR="00E942C6" w:rsidRDefault="00676093" w:rsidP="00FF2BA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УК-7</w:t>
            </w:r>
          </w:p>
          <w:p w:rsidR="00E942C6" w:rsidRPr="00B85081" w:rsidRDefault="00B85081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B85081">
              <w:rPr>
                <w:sz w:val="24"/>
                <w:szCs w:val="24"/>
              </w:rPr>
              <w:t xml:space="preserve">Способен </w:t>
            </w:r>
            <w:r w:rsidR="00676093">
              <w:rPr>
                <w:sz w:val="24"/>
                <w:szCs w:val="24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:rsidR="00FE2CBD" w:rsidRPr="00655355" w:rsidRDefault="00FE2CBD" w:rsidP="00FE2CBD">
            <w:pPr>
              <w:pStyle w:val="TableParagraph"/>
            </w:pPr>
            <w:r w:rsidRPr="00655355"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FE2CBD" w:rsidRPr="00655355" w:rsidRDefault="00FE2CBD" w:rsidP="00FE2CBD">
            <w:pPr>
              <w:pStyle w:val="TableParagraph"/>
              <w:jc w:val="both"/>
            </w:pPr>
          </w:p>
          <w:p w:rsidR="00FE2CBD" w:rsidRPr="00655355" w:rsidRDefault="00FE2CBD" w:rsidP="00FE2CBD">
            <w:pPr>
              <w:pStyle w:val="TableParagraph"/>
              <w:jc w:val="both"/>
            </w:pPr>
            <w:r w:rsidRPr="00655355"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FE2CBD" w:rsidRPr="00655355" w:rsidRDefault="00FE2CBD" w:rsidP="00FE2CBD">
            <w:pPr>
              <w:pStyle w:val="TableParagraph"/>
              <w:jc w:val="both"/>
            </w:pPr>
          </w:p>
          <w:p w:rsidR="00676093" w:rsidRPr="00AA38F5" w:rsidRDefault="00FE2CBD" w:rsidP="00FE2CBD">
            <w:pPr>
              <w:rPr>
                <w:sz w:val="24"/>
                <w:szCs w:val="24"/>
                <w:lang w:eastAsia="ru-RU"/>
              </w:rPr>
            </w:pPr>
            <w:r w:rsidRPr="00655355">
              <w:t xml:space="preserve">УК-7.3 - Определяет личный уровень </w:t>
            </w:r>
            <w:proofErr w:type="spellStart"/>
            <w:r w:rsidRPr="00655355">
              <w:t>сформированности</w:t>
            </w:r>
            <w:proofErr w:type="spellEnd"/>
            <w:r w:rsidRPr="00655355">
              <w:t xml:space="preserve"> показателей физического развития и физической подготовленности</w:t>
            </w:r>
            <w:bookmarkStart w:id="0" w:name="_GoBack"/>
            <w:bookmarkEnd w:id="0"/>
          </w:p>
        </w:tc>
        <w:tc>
          <w:tcPr>
            <w:tcW w:w="1413" w:type="pct"/>
            <w:vMerge w:val="restart"/>
          </w:tcPr>
          <w:p w:rsidR="00D1741C" w:rsidRDefault="00D1741C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t>Знать:</w:t>
            </w:r>
            <w:r>
              <w:t xml:space="preserve">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социально-гуманитарную роль физической культуры и спорта в развитии личности;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>— способы контроля и оценки физического развития и физической подготовленности;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правила и способы планирования индивидуальных занятий различной целевой направленности;</w:t>
            </w:r>
          </w:p>
          <w:p w:rsidR="00D1741C" w:rsidRPr="00D1741C" w:rsidRDefault="00D1741C" w:rsidP="002D7622">
            <w:pPr>
              <w:pStyle w:val="a4"/>
              <w:spacing w:line="276" w:lineRule="auto"/>
              <w:ind w:left="0"/>
              <w:rPr>
                <w:b/>
              </w:rPr>
            </w:pPr>
            <w:r>
              <w:t xml:space="preserve"> </w:t>
            </w:r>
            <w:r w:rsidRPr="00D1741C">
              <w:rPr>
                <w:b/>
              </w:rPr>
              <w:t>Уметь: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организовывать режим времени, приводящий к </w:t>
            </w:r>
            <w:r>
              <w:lastRenderedPageBreak/>
              <w:t xml:space="preserve">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>
              <w:t>самостраховки</w:t>
            </w:r>
            <w:proofErr w:type="spellEnd"/>
            <w:r>
              <w:t xml:space="preserve">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t>Владеть:</w:t>
            </w:r>
            <w:r>
              <w:t xml:space="preserve"> — опытом спортивной деятельности и физического самосовершенствования и самовоспитания;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методикой </w:t>
            </w:r>
            <w:r>
              <w:lastRenderedPageBreak/>
              <w:t>самостоятельных занятий и самоконтроля за состоянием своего организма;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:rsidR="00E942C6" w:rsidRPr="00AA38F5" w:rsidRDefault="00E942C6" w:rsidP="00D1741C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91" w:type="pct"/>
          </w:tcPr>
          <w:p w:rsidR="00E942C6" w:rsidRPr="00F30D55" w:rsidRDefault="00E942C6" w:rsidP="006232D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*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сдача контрольных нормативов</w:t>
            </w:r>
          </w:p>
        </w:tc>
      </w:tr>
      <w:tr w:rsidR="00E942C6" w:rsidRPr="00AA38F5" w:rsidTr="00E942C6">
        <w:trPr>
          <w:trHeight w:val="1015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AA38F5" w:rsidTr="00E942C6">
        <w:trPr>
          <w:trHeight w:val="1128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  <w:r w:rsidRPr="00B85081">
              <w:rPr>
                <w:i/>
                <w:sz w:val="24"/>
                <w:szCs w:val="24"/>
                <w:lang w:eastAsia="ru-RU"/>
              </w:rPr>
              <w:t xml:space="preserve">написание реферата 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</w:t>
      </w:r>
      <w:proofErr w:type="gramStart"/>
      <w:r w:rsidRPr="00563288">
        <w:rPr>
          <w:b/>
          <w:sz w:val="24"/>
          <w:szCs w:val="24"/>
        </w:rPr>
        <w:t xml:space="preserve">Типовые и оригинальные контрольные задания и иные материалы, необходимые для оценки планируемых результатов обучения по дисциплине </w:t>
      </w:r>
      <w:r w:rsidR="007A717B">
        <w:rPr>
          <w:b/>
          <w:sz w:val="24"/>
          <w:szCs w:val="24"/>
        </w:rPr>
        <w:t>"</w:t>
      </w:r>
      <w:r w:rsidR="00666AC4">
        <w:rPr>
          <w:b/>
          <w:sz w:val="24"/>
          <w:szCs w:val="24"/>
        </w:rPr>
        <w:t>Физическая культура и спорт (Элективные курсы.</w:t>
      </w:r>
      <w:proofErr w:type="gramEnd"/>
      <w:r w:rsidR="00666AC4">
        <w:rPr>
          <w:b/>
          <w:sz w:val="24"/>
          <w:szCs w:val="24"/>
        </w:rPr>
        <w:t xml:space="preserve"> Спортивные игры)</w:t>
      </w:r>
      <w:r w:rsidR="007A717B">
        <w:rPr>
          <w:b/>
          <w:sz w:val="24"/>
          <w:szCs w:val="24"/>
        </w:rPr>
        <w:t xml:space="preserve"> </w:t>
      </w:r>
      <w:r w:rsidRPr="00563288">
        <w:rPr>
          <w:b/>
          <w:sz w:val="24"/>
          <w:szCs w:val="24"/>
        </w:rPr>
        <w:t>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7A717B" w:rsidRPr="00DB2EF4" w:rsidRDefault="007A717B" w:rsidP="007A717B">
      <w:pPr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B2EF4">
        <w:rPr>
          <w:b/>
          <w:sz w:val="24"/>
          <w:szCs w:val="24"/>
        </w:rPr>
        <w:t xml:space="preserve">.1.  Оценочные средства по дисциплине </w:t>
      </w:r>
      <w:r w:rsidRPr="00B61BD9">
        <w:rPr>
          <w:b/>
          <w:sz w:val="24"/>
          <w:szCs w:val="24"/>
        </w:rPr>
        <w:t>«Физическая кул</w:t>
      </w:r>
      <w:r>
        <w:rPr>
          <w:b/>
          <w:sz w:val="24"/>
          <w:szCs w:val="24"/>
        </w:rPr>
        <w:t>ьтура и спорт (Элективные курсы)</w:t>
      </w:r>
      <w:r w:rsidRPr="00B61BD9">
        <w:rPr>
          <w:b/>
          <w:sz w:val="24"/>
          <w:szCs w:val="24"/>
        </w:rPr>
        <w:t xml:space="preserve">» </w:t>
      </w:r>
      <w:r w:rsidRPr="00DB2EF4">
        <w:rPr>
          <w:b/>
          <w:sz w:val="24"/>
          <w:szCs w:val="24"/>
        </w:rPr>
        <w:t>по очной форме обучения</w:t>
      </w:r>
      <w:r>
        <w:rPr>
          <w:sz w:val="24"/>
          <w:szCs w:val="24"/>
        </w:rPr>
        <w:t>.</w:t>
      </w:r>
    </w:p>
    <w:p w:rsidR="007A717B" w:rsidRDefault="007A717B" w:rsidP="00666A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практическим занятиям по дисциплине </w:t>
      </w:r>
      <w:r>
        <w:rPr>
          <w:b/>
          <w:sz w:val="24"/>
          <w:szCs w:val="24"/>
        </w:rPr>
        <w:t>«</w:t>
      </w:r>
      <w:r w:rsidR="00666AC4">
        <w:rPr>
          <w:b/>
          <w:sz w:val="24"/>
          <w:szCs w:val="24"/>
        </w:rPr>
        <w:t>Физическая культура и спорт (Элективные курсы. Спортивные игры)</w:t>
      </w:r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7A717B" w:rsidRDefault="007A717B" w:rsidP="007A717B">
      <w:pPr>
        <w:ind w:firstLine="709"/>
      </w:pPr>
      <w:r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4"/>
          <w:szCs w:val="24"/>
        </w:rPr>
        <w:t>«</w:t>
      </w:r>
      <w:r w:rsidR="00666AC4">
        <w:rPr>
          <w:b/>
          <w:sz w:val="24"/>
          <w:szCs w:val="24"/>
        </w:rPr>
        <w:t>Физическая культура и спорт (Элективные курсы. Спортивные игры)</w:t>
      </w:r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7A717B" w:rsidRDefault="007A717B" w:rsidP="007A717B">
      <w:pPr>
        <w:spacing w:line="247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</w:t>
      </w:r>
      <w:r>
        <w:rPr>
          <w:sz w:val="24"/>
          <w:szCs w:val="24"/>
        </w:rPr>
        <w:lastRenderedPageBreak/>
        <w:t>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F712B7" w:rsidRPr="00BA1A52" w:rsidRDefault="00F712B7" w:rsidP="00F712B7">
      <w:pPr>
        <w:spacing w:line="247" w:lineRule="auto"/>
        <w:ind w:firstLine="709"/>
      </w:pPr>
      <w:r w:rsidRPr="00BA1A52">
        <w:rPr>
          <w:sz w:val="24"/>
          <w:szCs w:val="24"/>
        </w:rPr>
        <w:t>Для студентов основной и подготовительной группы:</w:t>
      </w:r>
    </w:p>
    <w:p w:rsidR="00F712B7" w:rsidRPr="00BA1A52" w:rsidRDefault="00F712B7" w:rsidP="00F712B7">
      <w:pPr>
        <w:spacing w:line="247" w:lineRule="auto"/>
        <w:ind w:firstLine="709"/>
        <w:rPr>
          <w:b/>
          <w:sz w:val="24"/>
          <w:szCs w:val="24"/>
        </w:rPr>
      </w:pPr>
      <w:r w:rsidRPr="00BA1A52">
        <w:rPr>
          <w:b/>
          <w:sz w:val="24"/>
          <w:szCs w:val="24"/>
        </w:rPr>
        <w:t xml:space="preserve"> 2 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2.бег на 2 км (девушки), на 3 км (юноши);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3.сгибание и разгибание рук в упоре лежа;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5.прыжок в длину с места.</w:t>
      </w:r>
    </w:p>
    <w:p w:rsidR="00F712B7" w:rsidRPr="00BA1A52" w:rsidRDefault="00F712B7" w:rsidP="00F712B7">
      <w:pPr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 xml:space="preserve">3 </w:t>
      </w:r>
      <w:r w:rsidRPr="00BA1A52">
        <w:rPr>
          <w:b/>
          <w:sz w:val="24"/>
          <w:szCs w:val="24"/>
        </w:rPr>
        <w:t>семестр</w:t>
      </w:r>
      <w:r w:rsidRPr="00BA1A52">
        <w:rPr>
          <w:sz w:val="24"/>
          <w:szCs w:val="24"/>
        </w:rPr>
        <w:t>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Вид промежуточной аттестации –зачет.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>1.бег на 100 м;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 xml:space="preserve">2.бег на 2 км (девушки), на 3 км (юноши); </w:t>
      </w:r>
    </w:p>
    <w:p w:rsidR="00F712B7" w:rsidRDefault="00F712B7" w:rsidP="00F712B7">
      <w:pPr>
        <w:ind w:firstLine="2127"/>
        <w:rPr>
          <w:sz w:val="24"/>
          <w:szCs w:val="24"/>
        </w:rPr>
      </w:pPr>
      <w:r>
        <w:rPr>
          <w:sz w:val="24"/>
          <w:szCs w:val="24"/>
        </w:rPr>
        <w:t>3. бросок мяча по кольцу одной рукой от плеча после ведения;</w:t>
      </w:r>
    </w:p>
    <w:p w:rsidR="00F712B7" w:rsidRDefault="00F712B7" w:rsidP="00F712B7">
      <w:pPr>
        <w:ind w:left="2127" w:right="60"/>
        <w:rPr>
          <w:sz w:val="28"/>
        </w:rPr>
      </w:pPr>
      <w:r>
        <w:rPr>
          <w:sz w:val="24"/>
          <w:szCs w:val="24"/>
        </w:rPr>
        <w:t>4.</w:t>
      </w:r>
      <w:r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4"/>
        </w:rPr>
        <w:tab/>
        <w:t>на перекладине (кол. раз)</w:t>
      </w:r>
    </w:p>
    <w:p w:rsidR="00F712B7" w:rsidRDefault="00F712B7" w:rsidP="00F712B7">
      <w:pPr>
        <w:ind w:firstLine="2127"/>
      </w:pPr>
      <w:r>
        <w:rPr>
          <w:sz w:val="24"/>
          <w:szCs w:val="24"/>
        </w:rPr>
        <w:t>5. ш</w:t>
      </w:r>
      <w:r>
        <w:t>трафной бросок (любым способом).</w:t>
      </w:r>
    </w:p>
    <w:p w:rsidR="00F712B7" w:rsidRPr="00BA1A52" w:rsidRDefault="00F712B7" w:rsidP="00F712B7">
      <w:pPr>
        <w:spacing w:line="249" w:lineRule="auto"/>
        <w:ind w:left="1069" w:hanging="218"/>
      </w:pPr>
      <w:r w:rsidRPr="00BA1A52">
        <w:rPr>
          <w:b/>
          <w:sz w:val="24"/>
          <w:szCs w:val="24"/>
        </w:rPr>
        <w:t>4семестр.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 xml:space="preserve">2.бег на 2 км (девушки), на 3 км (юноши); 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3.передача волейбольного мяча в парах;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5.подача волейбольного мяча любым способом.</w:t>
      </w:r>
    </w:p>
    <w:p w:rsidR="007A717B" w:rsidRDefault="007A717B" w:rsidP="007A717B">
      <w:pPr>
        <w:ind w:firstLine="2127"/>
      </w:pPr>
    </w:p>
    <w:tbl>
      <w:tblPr>
        <w:tblW w:w="9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484"/>
      </w:tblGrid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A717B" w:rsidRDefault="007A717B" w:rsidP="007A717B">
      <w:pPr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7A717B" w:rsidRDefault="007A717B" w:rsidP="007A717B">
      <w:pPr>
        <w:spacing w:line="276" w:lineRule="auto"/>
        <w:ind w:firstLine="709"/>
      </w:pPr>
      <w:r>
        <w:rPr>
          <w:b/>
          <w:bCs/>
          <w:sz w:val="24"/>
          <w:szCs w:val="24"/>
        </w:rPr>
        <w:t>2</w:t>
      </w:r>
      <w:r w:rsidRPr="6C9CAB29">
        <w:rPr>
          <w:b/>
          <w:bCs/>
          <w:sz w:val="24"/>
          <w:szCs w:val="24"/>
        </w:rPr>
        <w:t>.2.  Оценочные средства по дисциплине «Физическая культура и спорт (Элективные курсы)» по заочной форме обучения</w:t>
      </w:r>
      <w:r>
        <w:t>.</w:t>
      </w:r>
    </w:p>
    <w:p w:rsidR="00320EE7" w:rsidRPr="00320EE7" w:rsidRDefault="00320EE7" w:rsidP="00320EE7">
      <w:pPr>
        <w:spacing w:line="276" w:lineRule="auto"/>
        <w:ind w:firstLine="709"/>
        <w:rPr>
          <w:sz w:val="24"/>
          <w:szCs w:val="24"/>
        </w:rPr>
      </w:pPr>
      <w:r w:rsidRPr="00320EE7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практического типа и написания реферата на выбранную тему. 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672B02" w:rsidRDefault="00672B02" w:rsidP="00672B02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p w:rsidR="00666AC4" w:rsidRDefault="00666AC4" w:rsidP="00672B02">
      <w:pPr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258"/>
        <w:gridCol w:w="2926"/>
        <w:gridCol w:w="3582"/>
      </w:tblGrid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№</w:t>
            </w:r>
          </w:p>
        </w:tc>
        <w:tc>
          <w:tcPr>
            <w:tcW w:w="2258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Компетенция</w:t>
            </w: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(часть компетенции)</w:t>
            </w: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Вопрос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Варианты ответов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 w:val="restart"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34FAB">
              <w:rPr>
                <w:b/>
                <w:bCs/>
              </w:rPr>
              <w:t xml:space="preserve">УК-7. </w:t>
            </w:r>
          </w:p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34FAB">
              <w:rPr>
                <w:b/>
                <w:bCs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DF5578" w:rsidRPr="00A34FAB" w:rsidRDefault="00DF5578" w:rsidP="00D83906">
            <w:pPr>
              <w:pStyle w:val="a6"/>
              <w:rPr>
                <w:b/>
              </w:rPr>
            </w:pPr>
            <w:r w:rsidRPr="00A34FAB">
              <w:rPr>
                <w:b/>
              </w:rPr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t>Разновидностью какого класса подвижных игр (П.И.) являются эстафеты?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А) командные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Б) некомандные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В) переходные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>Г) подражательные игры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</w:pPr>
            <w:r w:rsidRPr="00A34FAB">
              <w:t>Что НЕ характерно для спортивных игр (ВЫБЕРИТЕ ЛИШНЕЕ):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А) наличие правил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Б) Взаимодействие с партнерами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В) Двигательная активность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Г) Учёт индивидуальных достижений</w:t>
            </w:r>
          </w:p>
        </w:tc>
      </w:tr>
      <w:tr w:rsidR="00DF5578" w:rsidRPr="00A34FAB" w:rsidTr="00DF5578">
        <w:trPr>
          <w:trHeight w:val="1156"/>
        </w:trPr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Какой технический прием в баскетболе дает игроку возможность передвигаться по площадке с мячом?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ведение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бросок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передача мяча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</w:rPr>
            </w:pPr>
            <w:r w:rsidRPr="00A34FAB">
              <w:t xml:space="preserve"> Г) подача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t>Каким способом нельзя вести мяч в баскетболе?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двумя руками одновременно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 Б) правой рукой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 В) левой рукой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 xml:space="preserve"> Г) двумя руками поочередно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t>Что не включает в себя техника передвижений в баскетболе?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ведение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стойки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остановки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повороты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Сколько времени отводится на выполнение подачи в волейболе?</w:t>
            </w:r>
            <w:r w:rsidRPr="00A34FAB">
              <w:rPr>
                <w:rStyle w:val="21"/>
                <w:rFonts w:eastAsia="Arial"/>
              </w:rPr>
              <w:t xml:space="preserve"> 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А) 8 сек.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 Б) 3 сек.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В) 5 сек.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 xml:space="preserve"> Г) 10 сек.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Сколько попыток подачи разрешено в волейболе?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1 попытка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4 попытки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3 попытки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 xml:space="preserve">Г) 2 попытки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В какой стране возникла игра волейбол?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 США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 Англии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В России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 Кубе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Сколько человек состоит в футбольной команде?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5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8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11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15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Чем нельзя отбивать мяч в футболе?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Рука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Нога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Грудь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>Г) Голова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Сколько человек состоит в команде по мини-футболу?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5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8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11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15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Разрешено ли играть в мини-футбол в шипованных бутсах?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Нет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По усмотрению судьи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Жёлтая карточка, предъявленная судьёй, означает: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Тайм-аут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Предупреждение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Удаление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Красная карточка, предъявленная судьёй, означает: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Тайм-аут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Предупреждение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Удаление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мини-футболе имеет ли право вратарь поменяться с каким-либо полевым игроком своей команды?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Нет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По усмотрению судьи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Только в случае травмы вратаря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используются ворота?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Теннис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Настольный теннис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используется корзина?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Хоккей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Баскетбол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отсутствует парный разряд?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Теннис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Настольный теннис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НЕ используется мяч круглой формы?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Баскетбол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Регби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Что из перечисленного НЕ является </w:t>
            </w:r>
            <w:r w:rsidRPr="00A34FAB">
              <w:lastRenderedPageBreak/>
              <w:t>отечественной традиционной дворовой спортивной игрой?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lastRenderedPageBreak/>
              <w:t>А) Городки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Софтбол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lastRenderedPageBreak/>
              <w:t>В) Пионербол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Казаки-разбойники</w:t>
            </w:r>
          </w:p>
        </w:tc>
      </w:tr>
    </w:tbl>
    <w:p w:rsidR="00DF5578" w:rsidRDefault="00DF5578" w:rsidP="00672B02">
      <w:pPr>
        <w:autoSpaceDE w:val="0"/>
        <w:autoSpaceDN w:val="0"/>
      </w:pPr>
    </w:p>
    <w:p w:rsidR="00DF5578" w:rsidRDefault="00DF5578" w:rsidP="00672B02">
      <w:pPr>
        <w:autoSpaceDE w:val="0"/>
        <w:autoSpaceDN w:val="0"/>
      </w:pP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526923" w:rsidRDefault="00526923" w:rsidP="00672B02">
      <w:pPr>
        <w:pStyle w:val="Default"/>
        <w:jc w:val="center"/>
        <w:rPr>
          <w:b/>
        </w:rPr>
      </w:pPr>
    </w:p>
    <w:p w:rsidR="00672B02" w:rsidRDefault="00672B02" w:rsidP="00672B02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A657C9" w:rsidTr="003B798D">
        <w:tc>
          <w:tcPr>
            <w:tcW w:w="1430" w:type="dxa"/>
          </w:tcPr>
          <w:p w:rsidR="00A657C9" w:rsidRDefault="00A657C9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A657C9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672B02" w:rsidRDefault="00672B02" w:rsidP="007A717B">
      <w:pPr>
        <w:ind w:firstLine="709"/>
      </w:pPr>
    </w:p>
    <w:p w:rsidR="00672B02" w:rsidRDefault="00672B02" w:rsidP="007A717B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672B02" w:rsidRDefault="00672B0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Спортивные игры. Их отличия от других видов физической активности.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Спортивные игры. Типы и виды.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мини-футбола.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волейбола.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баскетбола.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гандбола.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регби.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бейсбола.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водного поло.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настольного тенниса.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тенниса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бадминтона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пляжного волейбола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хоккея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хоккея на траве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гольфа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Бильярд как спортивная игра. Виды и правила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кёрлинга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крикета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Лапта.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Пионербол.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Городки.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Казаки-разбойники.</w:t>
      </w:r>
    </w:p>
    <w:p w:rsidR="00672B02" w:rsidRDefault="00672B02" w:rsidP="00526923">
      <w:pPr>
        <w:spacing w:line="276" w:lineRule="auto"/>
        <w:ind w:left="567" w:right="17"/>
        <w:rPr>
          <w:sz w:val="28"/>
        </w:rPr>
      </w:pPr>
      <w:r>
        <w:rPr>
          <w:sz w:val="28"/>
        </w:rPr>
        <w:br w:type="page"/>
      </w: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672B02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5458F"/>
    <w:multiLevelType w:val="hybridMultilevel"/>
    <w:tmpl w:val="74F2C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3">
    <w:nsid w:val="35761B7A"/>
    <w:multiLevelType w:val="hybridMultilevel"/>
    <w:tmpl w:val="BBD6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">
    <w:nsid w:val="713424CA"/>
    <w:multiLevelType w:val="hybridMultilevel"/>
    <w:tmpl w:val="31A88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C1755"/>
    <w:rsid w:val="00233977"/>
    <w:rsid w:val="002B3AA7"/>
    <w:rsid w:val="002D7622"/>
    <w:rsid w:val="00320EE7"/>
    <w:rsid w:val="003C3A16"/>
    <w:rsid w:val="003C4008"/>
    <w:rsid w:val="00497143"/>
    <w:rsid w:val="00523093"/>
    <w:rsid w:val="00526923"/>
    <w:rsid w:val="00563288"/>
    <w:rsid w:val="006232D5"/>
    <w:rsid w:val="00666AC4"/>
    <w:rsid w:val="00672B02"/>
    <w:rsid w:val="00676093"/>
    <w:rsid w:val="00771F95"/>
    <w:rsid w:val="007A717B"/>
    <w:rsid w:val="00A657C9"/>
    <w:rsid w:val="00AC07E7"/>
    <w:rsid w:val="00B85081"/>
    <w:rsid w:val="00C73DA5"/>
    <w:rsid w:val="00D1741C"/>
    <w:rsid w:val="00DF5578"/>
    <w:rsid w:val="00E1570B"/>
    <w:rsid w:val="00E8371F"/>
    <w:rsid w:val="00E942C6"/>
    <w:rsid w:val="00F712B7"/>
    <w:rsid w:val="00FE2CBD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0"/>
    <w:uiPriority w:val="1"/>
    <w:qFormat/>
    <w:rsid w:val="00FE2CBD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0"/>
    <w:uiPriority w:val="1"/>
    <w:qFormat/>
    <w:rsid w:val="00FE2CBD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CD0EB-3FF6-48A4-A93F-3A563588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 WIN 4</cp:lastModifiedBy>
  <cp:revision>2</cp:revision>
  <dcterms:created xsi:type="dcterms:W3CDTF">2023-11-06T10:52:00Z</dcterms:created>
  <dcterms:modified xsi:type="dcterms:W3CDTF">2023-11-06T10:52:00Z</dcterms:modified>
</cp:coreProperties>
</file>